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[pjdoc 12845] vom 26. Oktober 1999</w:t>
      </w:r>
    </w:p>
    <w:p>
      <w:r>
        <w:t>GE Cour de justice, 1999-10-26, FR</w:t>
      </w:r>
    </w:p>
    <w:p>
      <w:r>
        <w:rPr>
          <w:b/>
        </w:rPr>
        <w:t xml:space="preserve">Quelle: </w:t>
      </w:r>
      <w:r>
        <w:t>https://mcp.opencaselaw.ch/entscheid/ge_gerichte_[pjdoc 12845]</w:t>
      </w:r>
    </w:p>
    <w:p>
      <w:r>
        <w:t>FR: GE_GERICHTE [pjdoc 12845] du 26 octobre 1999</w:t>
      </w:r>
    </w:p>
    <w:p>
      <w:r>
        <w:t>IT: GE_GERICHTE [pjdoc 12845] del 26 ottobre 1999</w:t>
      </w:r>
    </w:p>
    <w:p>
      <w:pPr>
        <w:pStyle w:val="Heading2"/>
      </w:pPr>
      <w:r>
        <w:t>Regeste</w:t>
      </w:r>
    </w:p>
    <w:p>
      <w:r>
        <w:t>Résumé: La publicité des débats dans le domaine des assurances sociales n'est pas garantie de façon absolue (ATF119 V 375;122 V 47).Une procédure écrite est conforme à l'art. 6f 1 CEDH lorsque le litige ne revêt pas un intérêt public tel qu'il exige une audience publique.La rente d'invalidité (art. 40 LAM) et celle pour atteinte à l'intégrité (art. 48 LAM) peuvent débuter à un moment différent (ATF117 V 71).Le taux de l'atteinte fixé par l'OFAM peut être différent de celui fixé par la CNA (ATF113 V 140).L'incapacité à entretenir des relations sexuelles doit être évaluée par un expert et , cas échéant, donne droit à une rente pour atteinte à l'intégrité.Les tables Stauffer/Schätzle, en prévoyant un coefficient de capitalisation différent pour les hommes et les femmes, ne viole pas le principe dégalité de traitement.</w:t>
      </w:r>
    </w:p>
    <w:p>
      <w:pPr>
        <w:pStyle w:val="Heading2"/>
      </w:pPr>
      <w:r>
        <w:t>Volltext</w:t>
      </w:r>
    </w:p>
    <w:p>
      <w:r>
        <w:t>A/1161/98 [pjdoc 12845] du 26.10.1999 Descripteurs : ASSURANCE SOCIALE; AMIL; RENTE(EN GENERAL); INVALIDITE(INFIRMITE); ATTEINTE A L'INTEGRITE; ATTEINTE A LA SANTE; VALEUR CAPITALISEE; EGALITE DE TRAITEMENT; AUDIENCE PUBLIQUE Normes : CEDH.6f al.1; LAM.40 al.1; LAM.48 al.2 Résumé : La publicité des débats dans le domaine des assurances sociales n'est pas garantie de façon absolue (ATF 119 V 375 ; 122 V 47 ).Une procédure écrite est conforme à l'art. 6f 1 CEDH lorsque le litige ne revêt pas un intérêt public tel qu'il exige une audience publique.La rente d'invalidité (art. 40 LAM) et celle pour atteinte à l'intégrité (art. 48 LAM) peuvent débuter à un moment différent (ATF 117 V 71 ).Le taux de l'atteinte fixé par l'OFAM peut être différent de celui fixé par la CNA (ATF 113 V 140 ).L'incapacité à entretenir des relations sexuelles doit être évaluée par un expert et , cas échéant, donne droit à une rente pour atteinte à l'intégrité.Les tables Stauffer/Schätzle, en prévoyant un coefficient de capitalisation différent pour les hommes et les femmes, ne viole pas le principe dégalité de traitement.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